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rtl w:val="0"/>
        </w:rPr>
        <w:t xml:space="preserve">Daniel Turner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rtl w:val="0"/>
        </w:rPr>
        <w:t xml:space="preserve">Specific Aims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rtl w:val="0"/>
        </w:rPr>
        <w:t xml:space="preserve">Noonan syndrome (NS) is a genetic disorder associated with unusual facial characteristics, short stature, heart thickening, bleeding problems, developmental delays and rib cage bone malformations</w:t>
      </w:r>
      <w:r w:rsidDel="00000000" w:rsidR="00000000" w:rsidRPr="00000000">
        <w:rPr>
          <w:sz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rtl w:val="0"/>
        </w:rPr>
        <w:t xml:space="preserve">(1).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highlight w:val="white"/>
          <w:rtl w:val="0"/>
        </w:rPr>
        <w:t xml:space="preserve">The physiological symptoms of NS are caused by mutations in the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highlight w:val="white"/>
          <w:rtl w:val="0"/>
        </w:rPr>
        <w:t xml:space="preserve">PTPN11/SHP2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highlight w:val="white"/>
          <w:rtl w:val="0"/>
        </w:rPr>
        <w:t xml:space="preserve"> gene which is a tyrosine phosphatase involved in cell signaling. In Noonan Syndrome, PTPN11/SHP2 mutants lack </w:t>
      </w:r>
      <w:r w:rsidDel="00000000" w:rsidR="00000000" w:rsidRPr="00000000">
        <w:rPr>
          <w:sz w:val="20"/>
          <w:highlight w:val="white"/>
          <w:rtl w:val="0"/>
        </w:rPr>
        <w:t xml:space="preserve">autoinhibitory functionality, rendering them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highlight w:val="white"/>
          <w:rtl w:val="0"/>
        </w:rPr>
        <w:t xml:space="preserve"> constitutively active. It has been suggested that the role PTPN11/SHP2 plays in epidermal development is connected to its role in forming epidermal growth receptor </w:t>
      </w:r>
      <w:r w:rsidDel="00000000" w:rsidR="00000000" w:rsidRPr="00000000">
        <w:rPr>
          <w:sz w:val="20"/>
          <w:highlight w:val="white"/>
          <w:rtl w:val="0"/>
        </w:rPr>
        <w:t xml:space="preserve">complexes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highlight w:val="white"/>
          <w:rtl w:val="0"/>
        </w:rPr>
        <w:t xml:space="preserve"> (2). However, the role of PTPN11/SHP2 in epidermal and facial development is not clear.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rtl w:val="0"/>
        </w:rPr>
        <w:t xml:space="preserve">The goal is to determine the role of PTPN11/SHP2 in regulating epidermal cell growth and facial development. The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rtl w:val="0"/>
        </w:rPr>
        <w:t xml:space="preserve">hypothesis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rtl w:val="0"/>
        </w:rPr>
        <w:t xml:space="preserve"> is that PTPN11/SHP2 interacts with proteins that control skin development during embryogenesis.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rtl w:val="0"/>
        </w:rPr>
        <w:t xml:space="preserve">long-term goal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rtl w:val="0"/>
        </w:rPr>
        <w:t xml:space="preserve"> of this project is to determine how PTPN11/SHP2 functions in signal transduction during embryonic growth and development. The following specific aims will be used to test our hypothesis and direct our project toward its long term goal: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rtl w:val="0"/>
        </w:rPr>
        <w:t xml:space="preserve">Identify PTPN11/SHP2 interacting proteins that </w:t>
      </w:r>
      <w:r w:rsidDel="00000000" w:rsidR="00000000" w:rsidRPr="00000000">
        <w:rPr>
          <w:b w:val="1"/>
          <w:sz w:val="20"/>
          <w:rtl w:val="0"/>
        </w:rPr>
        <w:t xml:space="preserve">control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rtl w:val="0"/>
        </w:rPr>
        <w:t xml:space="preserve">epidermal development in zebrafish: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rtl w:val="0"/>
        </w:rPr>
        <w:t xml:space="preserve">Approach- </w:t>
      </w:r>
      <w:r w:rsidDel="00000000" w:rsidR="00000000" w:rsidRPr="00000000">
        <w:rPr>
          <w:sz w:val="20"/>
          <w:rtl w:val="0"/>
        </w:rPr>
        <w:t xml:space="preserve">Interacting proteins will be identified using tandem affinity purification (TAP).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rtl w:val="0"/>
        </w:rPr>
        <w:t xml:space="preserve">Identified proteins will be sorted using Gene Ontology (GO) for factors that regulate </w:t>
      </w:r>
      <w:r w:rsidDel="00000000" w:rsidR="00000000" w:rsidRPr="00000000">
        <w:rPr>
          <w:sz w:val="20"/>
          <w:rtl w:val="0"/>
        </w:rPr>
        <w:t xml:space="preserve">epidermal cell growth and regulate the formation of epidermal growth receptor complexes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rtl w:val="0"/>
        </w:rPr>
        <w:t xml:space="preserve">.  </w:t>
      </w:r>
      <w:r w:rsidDel="00000000" w:rsidR="00000000" w:rsidRPr="00000000">
        <w:rPr>
          <w:sz w:val="20"/>
          <w:rtl w:val="0"/>
        </w:rPr>
        <w:t xml:space="preserve">Additionally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rtl w:val="0"/>
        </w:rPr>
        <w:t xml:space="preserve">, conserved factors that are potential epidermal growth factors will be identified using STRING and GO in zebrafish. M</w:t>
      </w:r>
      <w:r w:rsidDel="00000000" w:rsidR="00000000" w:rsidRPr="00000000">
        <w:rPr>
          <w:sz w:val="20"/>
          <w:rtl w:val="0"/>
        </w:rPr>
        <w:t xml:space="preserve">utant PTPN11/SHP2 will be generated with CRISPR. </w:t>
      </w:r>
      <w:r w:rsidDel="00000000" w:rsidR="00000000" w:rsidRPr="00000000">
        <w:rPr>
          <w:b w:val="1"/>
          <w:sz w:val="20"/>
          <w:rtl w:val="0"/>
        </w:rPr>
        <w:t xml:space="preserve">Rationale-</w:t>
      </w:r>
      <w:r w:rsidDel="00000000" w:rsidR="00000000" w:rsidRPr="00000000">
        <w:rPr>
          <w:sz w:val="20"/>
          <w:rtl w:val="0"/>
        </w:rPr>
        <w:t xml:space="preserve"> By examining protein complexes involved with epidermal growth, protein interactions will be identified that are related to skin development. Then, by analyzing the effect of mutated PTPN11/SHP2 and mutated interacting proteins, their role in skin development will be determined and can then be targeted by chemical compounds.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</w:rPr>
      </w:pPr>
      <w:r w:rsidDel="00000000" w:rsidR="00000000" w:rsidRPr="00000000">
        <w:rPr>
          <w:b w:val="1"/>
          <w:sz w:val="20"/>
          <w:rtl w:val="0"/>
        </w:rPr>
        <w:t xml:space="preserve">Identify chemical compound that regulates the activity of mutant PTPN11/SHP2: </w:t>
      </w:r>
      <w:r w:rsidDel="00000000" w:rsidR="00000000" w:rsidRPr="00000000">
        <w:rPr>
          <w:sz w:val="20"/>
          <w:rtl w:val="0"/>
        </w:rPr>
        <w:t xml:space="preserve"> </w:t>
      </w:r>
      <w:r w:rsidDel="00000000" w:rsidR="00000000" w:rsidRPr="00000000">
        <w:rPr>
          <w:b w:val="1"/>
          <w:sz w:val="20"/>
          <w:rtl w:val="0"/>
        </w:rPr>
        <w:t xml:space="preserve">Approach - </w:t>
      </w:r>
      <w:r w:rsidDel="00000000" w:rsidR="00000000" w:rsidRPr="00000000">
        <w:rPr>
          <w:sz w:val="20"/>
          <w:rtl w:val="0"/>
        </w:rPr>
        <w:t xml:space="preserve">The pubchem database will be used to search for inhibitors that affect mutant PTPN11/SHP2 and/or proteins affected by mutant PTPN11/SHP2. </w:t>
      </w:r>
      <w:r w:rsidDel="00000000" w:rsidR="00000000" w:rsidRPr="00000000">
        <w:rPr>
          <w:b w:val="1"/>
          <w:sz w:val="20"/>
          <w:rtl w:val="0"/>
        </w:rPr>
        <w:t xml:space="preserve">Rationale - </w:t>
      </w:r>
      <w:r w:rsidDel="00000000" w:rsidR="00000000" w:rsidRPr="00000000">
        <w:rPr>
          <w:sz w:val="20"/>
          <w:rtl w:val="0"/>
        </w:rPr>
        <w:t xml:space="preserve">If a compound can be found that can inhibit the activity of mutant PTPN11/SHP2, it will be possible to reverse its effects on skin development. Compounds found will then be tested for their efficacy using phosphoproteomics.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</w:rPr>
      </w:pPr>
      <w:r w:rsidDel="00000000" w:rsidR="00000000" w:rsidRPr="00000000">
        <w:rPr>
          <w:b w:val="1"/>
          <w:sz w:val="20"/>
          <w:rtl w:val="0"/>
        </w:rPr>
        <w:t xml:space="preserve">Determine effect of chemical compounds on the activity of mutant PTPN11/SHP2: Approach - </w:t>
      </w:r>
      <w:r w:rsidDel="00000000" w:rsidR="00000000" w:rsidRPr="00000000">
        <w:rPr>
          <w:sz w:val="20"/>
          <w:rtl w:val="0"/>
        </w:rPr>
        <w:t xml:space="preserve">Phosphorylation of proteins that interact with mutant PTPN11/SHP2 will be measured using tandem mass spectrometry. </w:t>
      </w:r>
      <w:r w:rsidDel="00000000" w:rsidR="00000000" w:rsidRPr="00000000">
        <w:rPr>
          <w:b w:val="1"/>
          <w:sz w:val="20"/>
          <w:rtl w:val="0"/>
        </w:rPr>
        <w:t xml:space="preserve">Rationale</w:t>
      </w:r>
      <w:r w:rsidDel="00000000" w:rsidR="00000000" w:rsidRPr="00000000">
        <w:rPr>
          <w:sz w:val="20"/>
          <w:rtl w:val="0"/>
        </w:rPr>
        <w:t xml:space="preserve"> - Since PTPN11/SHP2 has phosphatase activity, by measuring the phosphorylation of PTPN11/SHP2 interacting proteins, the chemical activity of the chosen chemical compounds will be determined.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hyperlink r:id="rId5">
        <w:r w:rsidDel="00000000" w:rsidR="00000000" w:rsidRPr="00000000">
          <w:rPr>
            <w:rFonts w:ascii="Arial" w:cs="Arial" w:eastAsia="Arial" w:hAnsi="Arial"/>
            <w:b w:val="0"/>
            <w:color w:val="000000"/>
            <w:sz w:val="22"/>
            <w:rtl w:val="0"/>
          </w:rPr>
          <w:t xml:space="preserve">References: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b w:val="0"/>
          <w:sz w:val="22"/>
          <w:u w:val="no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color w:val="1155cc"/>
            <w:sz w:val="22"/>
            <w:u w:val="single"/>
            <w:rtl w:val="0"/>
          </w:rPr>
          <w:t xml:space="preserve">http://www.ncbi.nlm.nih.gov/pubmed/21396583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b w:val="0"/>
          <w:sz w:val="22"/>
          <w:u w:val="no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color w:val="1155cc"/>
            <w:sz w:val="22"/>
            <w:u w:val="single"/>
            <w:rtl w:val="0"/>
          </w:rPr>
          <w:t xml:space="preserve">http://www.ncbi.nlm.nih.gov/pubmed/11432805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hyperlink r:id="rId10">
        <w:r w:rsidDel="00000000" w:rsidR="00000000" w:rsidRPr="00000000">
          <w:rPr>
            <w:rtl w:val="0"/>
          </w:rPr>
        </w:r>
      </w:hyperlink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="http://www.ncbi.nlm.nih.gov/pubmed/11432805" TargetMode="Externa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://www.ncbi.nlm.nih.gov/pubmed/11432805" TargetMode="External"/><Relationship Id="rId6" Type="http://schemas.openxmlformats.org/officeDocument/2006/relationships/hyperlink" Target="http://www.ncbi.nlm.nih.gov/pubmed/14560030" TargetMode="External"/><Relationship Id="rId5" Type="http://schemas.openxmlformats.org/officeDocument/2006/relationships/hyperlink" Target="http://www.ncbi.nlm.nih.gov/pubmed/14560030" TargetMode="External"/><Relationship Id="rId8" Type="http://schemas.openxmlformats.org/officeDocument/2006/relationships/hyperlink" Target="http://www.ncbi.nlm.nih.gov/pubmed/11432805" TargetMode="External"/><Relationship Id="rId7" Type="http://schemas.openxmlformats.org/officeDocument/2006/relationships/hyperlink" Target="http://www.ncbi.nlm.nih.gov/pubmed/21396583" TargetMode="External"/></Relationships>
</file>